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宋体" w:hAnsi="宋体" w:cs="Arial"/>
          <w:color w:val="000000"/>
          <w:sz w:val="44"/>
          <w:szCs w:val="36"/>
        </w:rPr>
      </w:pPr>
      <w:r>
        <w:rPr>
          <w:rFonts w:hint="eastAsia" w:ascii="方正小标宋简体" w:eastAsia="方正小标宋简体" w:cs="宋体"/>
          <w:color w:val="484747"/>
          <w:kern w:val="0"/>
          <w:sz w:val="44"/>
          <w:szCs w:val="44"/>
        </w:rPr>
        <w:t>河北省文安县审计局</w:t>
      </w:r>
    </w:p>
    <w:p>
      <w:pPr>
        <w:widowControl/>
        <w:spacing w:line="420" w:lineRule="atLeast"/>
        <w:jc w:val="center"/>
        <w:rPr>
          <w:rFonts w:ascii="宋体" w:hAnsi="宋体" w:cs="Arial"/>
          <w:color w:val="000000"/>
          <w:sz w:val="44"/>
          <w:szCs w:val="36"/>
        </w:rPr>
      </w:pPr>
      <w:r>
        <w:rPr>
          <w:rFonts w:hint="eastAsia" w:ascii="宋体" w:hAnsi="宋体" w:cs="Arial"/>
          <w:color w:val="000000"/>
          <w:sz w:val="44"/>
          <w:szCs w:val="36"/>
        </w:rPr>
        <w:t>2018</w:t>
      </w:r>
      <w:r>
        <w:rPr>
          <w:rFonts w:hint="eastAsia" w:ascii="方正小标宋简体" w:eastAsia="方正小标宋简体" w:cs="宋体"/>
          <w:color w:val="484747"/>
          <w:kern w:val="0"/>
          <w:sz w:val="44"/>
          <w:szCs w:val="44"/>
        </w:rPr>
        <w:t>年度部门决算信息公开情况说明</w:t>
      </w:r>
    </w:p>
    <w:p>
      <w:pPr>
        <w:jc w:val="center"/>
        <w:rPr>
          <w:rFonts w:eastAsia="仿宋_GB2312" w:cs="Arial"/>
          <w:color w:val="484747"/>
          <w:sz w:val="32"/>
          <w:szCs w:val="21"/>
        </w:rPr>
      </w:pPr>
    </w:p>
    <w:p>
      <w:pPr>
        <w:ind w:firstLine="800" w:firstLineChars="25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按照《预算法》、《河北省财政厅关于印发&lt;河北省预决算公开操作规程实施细则&gt;的通知》（冀财预[2016]129号）等规定，现将河北省文安县审计局2018年度部门决算公开如下：</w:t>
      </w:r>
    </w:p>
    <w:p>
      <w:pPr>
        <w:widowControl/>
        <w:spacing w:line="420" w:lineRule="atLeast"/>
        <w:jc w:val="left"/>
        <w:rPr>
          <w:rFonts w:ascii="黑体" w:eastAsia="黑体" w:cs="黑体"/>
          <w:color w:val="484747"/>
          <w:kern w:val="0"/>
          <w:sz w:val="32"/>
          <w:szCs w:val="32"/>
        </w:rPr>
      </w:pPr>
      <w:r>
        <w:rPr>
          <w:rFonts w:hint="eastAsia" w:ascii="黑体" w:eastAsia="黑体" w:cs="黑体"/>
          <w:color w:val="484747"/>
          <w:kern w:val="0"/>
          <w:sz w:val="32"/>
          <w:szCs w:val="32"/>
        </w:rPr>
        <w:t xml:space="preserve">    第一部分 文安县审计局部门职责及机构设置情况</w:t>
      </w:r>
    </w:p>
    <w:p>
      <w:pPr>
        <w:pStyle w:val="4"/>
        <w:widowControl/>
        <w:shd w:val="clear" w:color="auto" w:fill="FFFFFF"/>
        <w:spacing w:before="0" w:beforeAutospacing="0" w:after="0" w:afterAutospacing="0" w:line="405" w:lineRule="atLeast"/>
        <w:ind w:firstLine="640" w:firstLineChars="200"/>
        <w:jc w:val="both"/>
        <w:rPr>
          <w:rFonts w:ascii="仿宋" w:hAnsi="仿宋" w:eastAsia="仿宋" w:cs="仿宋_GB2312"/>
          <w:color w:val="333333"/>
          <w:kern w:val="2"/>
          <w:sz w:val="32"/>
          <w:szCs w:val="32"/>
          <w:shd w:val="clear" w:color="auto" w:fill="FFFFFF"/>
        </w:rPr>
      </w:pPr>
      <w:r>
        <w:rPr>
          <w:rFonts w:hint="eastAsia" w:ascii="仿宋" w:hAnsi="仿宋" w:eastAsia="仿宋" w:cs="仿宋_GB2312"/>
          <w:color w:val="333333"/>
          <w:kern w:val="2"/>
          <w:sz w:val="32"/>
          <w:szCs w:val="32"/>
          <w:shd w:val="clear" w:color="auto" w:fill="FFFFFF"/>
        </w:rPr>
        <w:t>部门职责：</w:t>
      </w:r>
    </w:p>
    <w:p>
      <w:pPr>
        <w:ind w:firstLine="640" w:firstLineChars="200"/>
        <w:rPr>
          <w:rFonts w:ascii="仿宋" w:hAnsi="仿宋" w:eastAsia="仿宋" w:cs="仿宋_GB2312"/>
          <w:color w:val="333333"/>
          <w:sz w:val="32"/>
          <w:szCs w:val="32"/>
          <w:shd w:val="clear" w:color="auto" w:fill="FFFFFF"/>
        </w:rPr>
      </w:pPr>
      <w:r>
        <w:rPr>
          <w:rFonts w:hint="eastAsia" w:ascii="仿宋" w:hAnsi="仿宋" w:eastAsia="仿宋"/>
          <w:color w:val="484747"/>
          <w:sz w:val="32"/>
          <w:szCs w:val="32"/>
        </w:rPr>
        <w:t>（</w:t>
      </w:r>
      <w:r>
        <w:rPr>
          <w:rFonts w:hint="eastAsia" w:ascii="仿宋" w:hAnsi="仿宋" w:eastAsia="仿宋" w:cs="仿宋_GB2312"/>
          <w:color w:val="333333"/>
          <w:sz w:val="32"/>
          <w:szCs w:val="32"/>
          <w:shd w:val="clear" w:color="auto" w:fill="FFFFFF"/>
        </w:rPr>
        <w:t>一）编制全县审计工作计划，确定年度工作重点，制定审计规章制度并监督执行情况。</w:t>
      </w:r>
    </w:p>
    <w:p>
      <w:pPr>
        <w:ind w:firstLine="640" w:firstLineChars="2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（二）向县政府报告和向县政府有关部门通报审计情况，提出制定和完善有关政策的措施和建议。</w:t>
      </w:r>
    </w:p>
    <w:p>
      <w:pPr>
        <w:ind w:firstLine="640" w:firstLineChars="2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（三）依据《中华人民共和国审计法》和《中华人民共和国审计法实施条例》规定，直接进行下列审计：</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1、县本级财政预算执行情况和其他财政收支</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2 、各乡镇（管区）、县直各部门、事业单位及下属单位的财务收支。</w:t>
      </w:r>
    </w:p>
    <w:p>
      <w:pPr>
        <w:ind w:firstLine="640" w:firstLineChars="200"/>
        <w:rPr>
          <w:rFonts w:ascii="仿宋" w:hAnsi="仿宋" w:eastAsia="仿宋" w:cs="仿宋_GB2312"/>
          <w:color w:val="333333"/>
          <w:sz w:val="32"/>
          <w:szCs w:val="32"/>
          <w:shd w:val="clear" w:color="auto" w:fill="FFFFFF"/>
        </w:rPr>
      </w:pPr>
      <w:r>
        <w:rPr>
          <w:rFonts w:hint="eastAsia" w:eastAsia="仿宋"/>
          <w:color w:val="484747"/>
          <w:sz w:val="32"/>
          <w:szCs w:val="32"/>
        </w:rPr>
        <w:t>   </w:t>
      </w:r>
      <w:r>
        <w:rPr>
          <w:rFonts w:hint="eastAsia" w:ascii="仿宋" w:hAnsi="仿宋" w:eastAsia="仿宋" w:cs="仿宋_GB2312"/>
          <w:color w:val="333333"/>
          <w:sz w:val="32"/>
          <w:szCs w:val="32"/>
          <w:shd w:val="clear" w:color="auto" w:fill="FFFFFF"/>
        </w:rPr>
        <w:t>3、县属地方金融、保险机构的资产、负责和损益情况；市局安排的国有金融机构，非银行金融机构资产、负债和损益情况。</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4、县政府管理的和受县政府委托由社会团体管理的社会保障基金、环境保护基金、社会捐赠资金及其它有关基金、资金的财务收支。</w:t>
      </w:r>
    </w:p>
    <w:p>
      <w:pPr>
        <w:ind w:firstLine="640" w:firstLineChars="200"/>
        <w:rPr>
          <w:rFonts w:ascii="仿宋" w:hAnsi="仿宋" w:eastAsia="仿宋" w:cs="仿宋_GB2312"/>
          <w:color w:val="333333"/>
          <w:sz w:val="32"/>
          <w:szCs w:val="32"/>
          <w:shd w:val="clear" w:color="auto" w:fill="FFFFFF"/>
        </w:rPr>
      </w:pPr>
      <w:r>
        <w:rPr>
          <w:rFonts w:hint="eastAsia" w:eastAsia="仿宋"/>
          <w:color w:val="484747"/>
          <w:sz w:val="32"/>
          <w:szCs w:val="32"/>
        </w:rPr>
        <w:t> </w:t>
      </w: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5、上级审计机关授权的国际组织和外国政府援助、贷款项目的财务收支。</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6、国有企业、国有控股企业的资产、负债和损益状况。</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7、国家投资建设项目的预算或概算执行情况和决算。</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8、其他法律法规规定的审计事项。</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（四）向县长提交县本级预算执行情况的审计结果报告；受县政府委托向县人大常委会提出预算执行情况和其他财政收支审计工作报告。</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（五）组织实施对贯彻执行国家财经方针政策和宏观调控措施情况的实行审计、专项审计和审计调查；依法受理被审计单位对审计机关审计决定的复议申请。</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（六）组织实施对全县科级党政领导干部任期经济责任审计，并向县委组织部提交审计结果报告。</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（七）组织实施对内部审计的指导与监督；组织审计专业培训；监督社会审计最值得审计业务质量。</w:t>
      </w:r>
    </w:p>
    <w:p>
      <w:pPr>
        <w:ind w:firstLine="640" w:firstLineChars="200"/>
        <w:rPr>
          <w:rFonts w:ascii="仿宋" w:hAnsi="仿宋" w:eastAsia="仿宋" w:cs="仿宋_GB2312"/>
          <w:color w:val="333333"/>
          <w:sz w:val="32"/>
          <w:szCs w:val="32"/>
          <w:shd w:val="clear" w:color="auto" w:fill="FFFFFF"/>
        </w:rPr>
      </w:pPr>
      <w:r>
        <w:rPr>
          <w:rFonts w:hint="eastAsia" w:ascii="仿宋" w:hAnsi="Arial" w:eastAsia="仿宋" w:cs="仿宋_GB2312"/>
          <w:color w:val="333333"/>
          <w:sz w:val="32"/>
          <w:szCs w:val="32"/>
          <w:shd w:val="clear" w:color="auto" w:fill="FFFFFF"/>
        </w:rPr>
        <w:t> </w:t>
      </w:r>
      <w:r>
        <w:rPr>
          <w:rFonts w:hint="eastAsia" w:ascii="仿宋" w:hAnsi="仿宋" w:eastAsia="仿宋" w:cs="仿宋_GB2312"/>
          <w:color w:val="333333"/>
          <w:sz w:val="32"/>
          <w:szCs w:val="32"/>
          <w:shd w:val="clear" w:color="auto" w:fill="FFFFFF"/>
        </w:rPr>
        <w:t>（八）承办县政府和市审计局交办的其他事项。</w:t>
      </w:r>
    </w:p>
    <w:p>
      <w:pPr>
        <w:pStyle w:val="4"/>
        <w:widowControl/>
        <w:shd w:val="clear" w:color="auto" w:fill="FFFFFF"/>
        <w:spacing w:before="0" w:beforeAutospacing="0" w:after="0" w:afterAutospacing="0" w:line="405" w:lineRule="atLeast"/>
        <w:ind w:firstLine="964" w:firstLineChars="300"/>
        <w:jc w:val="both"/>
        <w:rPr>
          <w:rFonts w:ascii="仿宋" w:hAnsi="仿宋" w:eastAsia="仿宋" w:cs="仿宋_GB2312"/>
          <w:b/>
          <w:color w:val="333333"/>
          <w:sz w:val="32"/>
          <w:szCs w:val="32"/>
          <w:shd w:val="clear" w:color="auto" w:fill="FFFFFF"/>
        </w:rPr>
      </w:pPr>
      <w:r>
        <w:rPr>
          <w:rFonts w:hint="eastAsia" w:ascii="仿宋" w:hAnsi="仿宋" w:eastAsia="仿宋" w:cs="仿宋_GB2312"/>
          <w:b/>
          <w:color w:val="333333"/>
          <w:sz w:val="32"/>
          <w:szCs w:val="32"/>
          <w:shd w:val="clear" w:color="auto" w:fill="FFFFFF"/>
        </w:rPr>
        <w:t>机构设置：</w:t>
      </w:r>
    </w:p>
    <w:tbl>
      <w:tblPr>
        <w:tblStyle w:val="5"/>
        <w:tblpPr w:leftFromText="180" w:rightFromText="180" w:vertAnchor="text" w:horzAnchor="page" w:tblpX="2381" w:tblpY="1094"/>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40" w:type="dxa"/>
            <w:shd w:val="clear" w:color="auto" w:fill="auto"/>
            <w:vAlign w:val="center"/>
          </w:tcPr>
          <w:p>
            <w:pPr>
              <w:pStyle w:val="4"/>
              <w:spacing w:line="405" w:lineRule="atLeast"/>
              <w:jc w:val="center"/>
              <w:rPr>
                <w:rFonts w:ascii="仿宋" w:hAnsi="仿宋" w:eastAsia="仿宋" w:cs="Arial"/>
                <w:b/>
                <w:color w:val="333333"/>
                <w:sz w:val="32"/>
                <w:szCs w:val="32"/>
                <w:shd w:val="clear" w:color="auto" w:fill="FFFFFF"/>
              </w:rPr>
            </w:pPr>
            <w:r>
              <w:rPr>
                <w:rFonts w:hint="eastAsia" w:ascii="仿宋" w:hAnsi="仿宋" w:eastAsia="仿宋" w:cs="Arial"/>
                <w:b/>
                <w:color w:val="333333"/>
                <w:sz w:val="32"/>
                <w:szCs w:val="32"/>
                <w:shd w:val="clear" w:color="auto" w:fill="FFFFFF"/>
              </w:rPr>
              <w:t>单位名称</w:t>
            </w:r>
          </w:p>
        </w:tc>
        <w:tc>
          <w:tcPr>
            <w:tcW w:w="1803" w:type="dxa"/>
            <w:shd w:val="clear" w:color="auto" w:fill="auto"/>
            <w:vAlign w:val="center"/>
          </w:tcPr>
          <w:p>
            <w:pPr>
              <w:pStyle w:val="4"/>
              <w:spacing w:line="405" w:lineRule="atLeast"/>
              <w:jc w:val="center"/>
              <w:rPr>
                <w:rFonts w:ascii="仿宋" w:hAnsi="仿宋" w:eastAsia="仿宋" w:cs="Arial"/>
                <w:b/>
                <w:color w:val="333333"/>
                <w:sz w:val="32"/>
                <w:szCs w:val="32"/>
                <w:shd w:val="clear" w:color="auto" w:fill="FFFFFF"/>
              </w:rPr>
            </w:pPr>
            <w:r>
              <w:rPr>
                <w:rFonts w:hint="eastAsia" w:ascii="仿宋" w:hAnsi="仿宋" w:eastAsia="仿宋" w:cs="Arial"/>
                <w:b/>
                <w:color w:val="333333"/>
                <w:sz w:val="32"/>
                <w:szCs w:val="32"/>
                <w:shd w:val="clear" w:color="auto" w:fill="FFFFFF"/>
              </w:rPr>
              <w:t>单位性质</w:t>
            </w:r>
          </w:p>
        </w:tc>
        <w:tc>
          <w:tcPr>
            <w:tcW w:w="1804" w:type="dxa"/>
            <w:shd w:val="clear" w:color="auto" w:fill="auto"/>
            <w:vAlign w:val="center"/>
          </w:tcPr>
          <w:p>
            <w:pPr>
              <w:pStyle w:val="4"/>
              <w:spacing w:line="405" w:lineRule="atLeast"/>
              <w:jc w:val="center"/>
              <w:rPr>
                <w:rFonts w:ascii="仿宋" w:hAnsi="仿宋" w:eastAsia="仿宋" w:cs="Arial"/>
                <w:b/>
                <w:color w:val="333333"/>
                <w:sz w:val="32"/>
                <w:szCs w:val="32"/>
                <w:shd w:val="clear" w:color="auto" w:fill="FFFFFF"/>
              </w:rPr>
            </w:pPr>
            <w:r>
              <w:rPr>
                <w:rFonts w:hint="eastAsia" w:ascii="仿宋" w:hAnsi="仿宋" w:eastAsia="仿宋" w:cs="Arial"/>
                <w:b/>
                <w:color w:val="333333"/>
                <w:sz w:val="32"/>
                <w:szCs w:val="32"/>
                <w:shd w:val="clear" w:color="auto" w:fill="FFFFFF"/>
              </w:rPr>
              <w:t>单位规格</w:t>
            </w:r>
          </w:p>
        </w:tc>
        <w:tc>
          <w:tcPr>
            <w:tcW w:w="2333" w:type="dxa"/>
            <w:shd w:val="clear" w:color="auto" w:fill="auto"/>
            <w:vAlign w:val="center"/>
          </w:tcPr>
          <w:p>
            <w:pPr>
              <w:pStyle w:val="4"/>
              <w:spacing w:line="405" w:lineRule="atLeast"/>
              <w:jc w:val="center"/>
              <w:rPr>
                <w:rFonts w:ascii="仿宋" w:hAnsi="仿宋" w:eastAsia="仿宋" w:cs="Arial"/>
                <w:b/>
                <w:color w:val="333333"/>
                <w:sz w:val="32"/>
                <w:szCs w:val="32"/>
                <w:shd w:val="clear" w:color="auto" w:fill="FFFFFF"/>
              </w:rPr>
            </w:pPr>
            <w:r>
              <w:rPr>
                <w:rFonts w:hint="eastAsia" w:ascii="仿宋" w:hAnsi="仿宋" w:eastAsia="仿宋" w:cs="Arial"/>
                <w:b/>
                <w:color w:val="333333"/>
                <w:sz w:val="32"/>
                <w:szCs w:val="32"/>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40" w:type="dxa"/>
            <w:shd w:val="clear" w:color="auto" w:fill="auto"/>
            <w:vAlign w:val="center"/>
          </w:tcPr>
          <w:p>
            <w:pPr>
              <w:pStyle w:val="4"/>
              <w:spacing w:line="405" w:lineRule="atLeast"/>
              <w:jc w:val="center"/>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文安县审计局</w:t>
            </w:r>
          </w:p>
        </w:tc>
        <w:tc>
          <w:tcPr>
            <w:tcW w:w="1803" w:type="dxa"/>
            <w:shd w:val="clear" w:color="auto" w:fill="auto"/>
            <w:vAlign w:val="center"/>
          </w:tcPr>
          <w:p>
            <w:pPr>
              <w:pStyle w:val="4"/>
              <w:spacing w:line="405" w:lineRule="atLeast"/>
              <w:jc w:val="center"/>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行政</w:t>
            </w:r>
          </w:p>
        </w:tc>
        <w:tc>
          <w:tcPr>
            <w:tcW w:w="1804" w:type="dxa"/>
            <w:shd w:val="clear" w:color="auto" w:fill="auto"/>
            <w:vAlign w:val="center"/>
          </w:tcPr>
          <w:p>
            <w:pPr>
              <w:pStyle w:val="4"/>
              <w:spacing w:line="405" w:lineRule="atLeast"/>
              <w:jc w:val="center"/>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正科级</w:t>
            </w:r>
          </w:p>
        </w:tc>
        <w:tc>
          <w:tcPr>
            <w:tcW w:w="2333" w:type="dxa"/>
            <w:shd w:val="clear" w:color="auto" w:fill="auto"/>
            <w:vAlign w:val="center"/>
          </w:tcPr>
          <w:p>
            <w:pPr>
              <w:pStyle w:val="4"/>
              <w:spacing w:line="405" w:lineRule="atLeast"/>
              <w:jc w:val="center"/>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财政拨款</w:t>
            </w:r>
          </w:p>
        </w:tc>
      </w:tr>
    </w:tbl>
    <w:p>
      <w:pPr>
        <w:pStyle w:val="4"/>
        <w:shd w:val="clear" w:color="auto" w:fill="FFFFFF"/>
        <w:spacing w:line="405" w:lineRule="atLeast"/>
        <w:ind w:firstLine="2400" w:firstLineChars="75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文安县审计局部门机构设置情况</w:t>
      </w:r>
    </w:p>
    <w:p>
      <w:pPr>
        <w:ind w:firstLine="640"/>
        <w:rPr>
          <w:rFonts w:ascii="仿宋" w:hAnsi="仿宋" w:eastAsia="仿宋"/>
          <w:sz w:val="32"/>
          <w:szCs w:val="32"/>
        </w:rPr>
      </w:pPr>
      <w:r>
        <w:rPr>
          <w:rFonts w:hint="eastAsia" w:ascii="仿宋" w:hAnsi="仿宋" w:eastAsia="仿宋"/>
          <w:sz w:val="32"/>
          <w:szCs w:val="32"/>
        </w:rPr>
        <w:t xml:space="preserve">            </w:t>
      </w: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eastAsia="黑体"/>
          <w:sz w:val="36"/>
          <w:szCs w:val="36"/>
        </w:rPr>
      </w:pPr>
    </w:p>
    <w:p>
      <w:pPr>
        <w:widowControl/>
        <w:spacing w:line="420" w:lineRule="atLeast"/>
        <w:ind w:firstLine="643" w:firstLineChars="200"/>
        <w:jc w:val="left"/>
        <w:rPr>
          <w:rFonts w:ascii="黑体" w:eastAsia="黑体" w:cs="黑体"/>
          <w:b/>
          <w:bCs/>
          <w:color w:val="484747"/>
          <w:kern w:val="0"/>
          <w:sz w:val="32"/>
          <w:szCs w:val="32"/>
        </w:rPr>
      </w:pPr>
    </w:p>
    <w:p>
      <w:pPr>
        <w:widowControl/>
        <w:spacing w:line="420" w:lineRule="atLeast"/>
        <w:ind w:firstLine="643" w:firstLineChars="200"/>
        <w:jc w:val="left"/>
        <w:rPr>
          <w:rFonts w:ascii="黑体" w:eastAsia="黑体" w:cs="黑体"/>
          <w:b/>
          <w:bCs/>
          <w:color w:val="484747"/>
          <w:kern w:val="0"/>
          <w:sz w:val="32"/>
          <w:szCs w:val="32"/>
        </w:rPr>
      </w:pPr>
      <w:r>
        <w:rPr>
          <w:rFonts w:hint="eastAsia" w:ascii="黑体" w:eastAsia="黑体" w:cs="黑体"/>
          <w:b/>
          <w:bCs/>
          <w:color w:val="484747"/>
          <w:kern w:val="0"/>
          <w:sz w:val="32"/>
          <w:szCs w:val="32"/>
        </w:rPr>
        <w:t>第二部分 文安县审计局部门决算报表（见附件3）</w:t>
      </w:r>
    </w:p>
    <w:p>
      <w:pPr>
        <w:ind w:firstLine="640"/>
        <w:rPr>
          <w:rFonts w:eastAsia="黑体"/>
          <w:sz w:val="36"/>
          <w:szCs w:val="36"/>
        </w:rPr>
      </w:pPr>
    </w:p>
    <w:p>
      <w:pPr>
        <w:ind w:firstLine="640"/>
        <w:rPr>
          <w:rFonts w:eastAsia="黑体"/>
          <w:sz w:val="36"/>
          <w:szCs w:val="36"/>
        </w:rPr>
      </w:pPr>
    </w:p>
    <w:p>
      <w:pPr>
        <w:widowControl/>
        <w:spacing w:line="420" w:lineRule="atLeast"/>
        <w:ind w:firstLine="643" w:firstLineChars="200"/>
        <w:jc w:val="left"/>
        <w:rPr>
          <w:rFonts w:ascii="黑体" w:eastAsia="黑体" w:cs="黑体"/>
          <w:b/>
          <w:bCs/>
          <w:color w:val="484747"/>
          <w:kern w:val="0"/>
          <w:sz w:val="32"/>
          <w:szCs w:val="32"/>
        </w:rPr>
      </w:pPr>
      <w:r>
        <w:rPr>
          <w:rFonts w:hint="eastAsia" w:ascii="黑体" w:eastAsia="黑体" w:cs="黑体"/>
          <w:b/>
          <w:bCs/>
          <w:color w:val="484747"/>
          <w:kern w:val="0"/>
          <w:sz w:val="32"/>
          <w:szCs w:val="32"/>
        </w:rPr>
        <w:t>第三部分 文安县审计局2018年度部门决算情况说明</w:t>
      </w:r>
    </w:p>
    <w:p>
      <w:pPr>
        <w:pStyle w:val="2"/>
        <w:spacing w:before="0" w:after="0" w:line="580" w:lineRule="exact"/>
        <w:ind w:firstLine="640" w:firstLineChars="200"/>
        <w:rPr>
          <w:rFonts w:hint="eastAsia"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年初结转和结余0.7万元。本年收入604.44万元，本年支出576.48万元，用事业基金弥补收支差额0万元，结余分配0万元，年末结转和结余28.67万元。2018年度收入总计（含结转和结余）604.44万元。与2017年度决算相比，本年收入增加32.98万元，增长5.46%,；收入支出增长原因主要是人员经费的增加。</w:t>
      </w:r>
    </w:p>
    <w:p>
      <w:pPr>
        <w:pStyle w:val="2"/>
        <w:spacing w:before="0" w:after="0" w:line="580" w:lineRule="exact"/>
        <w:ind w:firstLine="640" w:firstLineChars="200"/>
        <w:rPr>
          <w:rFonts w:hint="eastAsia" w:ascii="黑体" w:eastAsia="黑体"/>
          <w:b w:val="0"/>
          <w:bCs w:val="0"/>
        </w:rPr>
      </w:pPr>
      <w:r>
        <w:rPr>
          <w:rFonts w:hint="eastAsia" w:ascii="黑体" w:eastAsia="黑体"/>
          <w:b w:val="0"/>
          <w:bCs w:val="0"/>
        </w:rPr>
        <w:t>二、收入决算情况说明</w:t>
      </w:r>
    </w:p>
    <w:p>
      <w:pPr>
        <w:adjustRightInd w:val="0"/>
        <w:snapToGrid w:val="0"/>
        <w:spacing w:line="580" w:lineRule="exact"/>
        <w:ind w:firstLine="640" w:firstLineChars="200"/>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604.44</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604.44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2"/>
        <w:spacing w:before="0" w:after="0" w:line="580" w:lineRule="exact"/>
        <w:ind w:firstLine="640" w:firstLineChars="200"/>
        <w:rPr>
          <w:rFonts w:hint="eastAsia" w:ascii="黑体" w:eastAsia="黑体"/>
          <w:b w:val="0"/>
          <w:bCs w:val="0"/>
        </w:rPr>
      </w:pPr>
      <w:r>
        <w:rPr>
          <w:rFonts w:hint="eastAsia" w:ascii="黑体" w:eastAsia="黑体"/>
          <w:b w:val="0"/>
          <w:bCs w:val="0"/>
        </w:rPr>
        <w:t>三、支出决算情况说明</w:t>
      </w:r>
    </w:p>
    <w:p>
      <w:pPr>
        <w:adjustRightInd w:val="0"/>
        <w:snapToGrid w:val="0"/>
        <w:spacing w:line="580" w:lineRule="exact"/>
        <w:ind w:firstLine="640"/>
        <w:jc w:val="left"/>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576.48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576.48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w:t>
      </w:r>
      <w:r>
        <w:rPr>
          <w:rFonts w:hint="eastAsia" w:ascii="仿宋_GB2312" w:eastAsia="仿宋_GB2312" w:cs="DengXian-Regular"/>
          <w:sz w:val="32"/>
          <w:szCs w:val="32"/>
          <w:lang w:val="en-US" w:eastAsia="zh-CN"/>
        </w:rPr>
        <w:t>收</w:t>
      </w:r>
      <w:r>
        <w:rPr>
          <w:rFonts w:hint="eastAsia" w:ascii="仿宋_GB2312" w:eastAsia="仿宋_GB2312" w:cs="DengXian-Regular"/>
          <w:sz w:val="32"/>
          <w:szCs w:val="32"/>
        </w:rPr>
        <w:t>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2"/>
        <w:spacing w:before="0" w:after="0" w:line="580" w:lineRule="exact"/>
        <w:ind w:firstLine="640" w:firstLineChars="200"/>
        <w:rPr>
          <w:rFonts w:hint="eastAsia"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604.44万元,比2017年度增加32.98万元，增长5.46%，主要是人员经费增加；本年支出576.48万元，增加5.72万元，增长0.99%，主要是人员经费的增加。</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604.44</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32.98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5.46</w:t>
      </w:r>
      <w:r>
        <w:rPr>
          <w:rFonts w:hint="eastAsia" w:ascii="仿宋_GB2312" w:eastAsia="仿宋_GB2312" w:cs="DengXian-Regular"/>
          <w:sz w:val="32"/>
          <w:szCs w:val="32"/>
        </w:rPr>
        <w:t>%，主要是人员经费增加；本年支出</w:t>
      </w:r>
      <w:r>
        <w:rPr>
          <w:rFonts w:hint="eastAsia" w:ascii="仿宋_GB2312" w:eastAsia="仿宋_GB2312" w:cs="DengXian-Regular"/>
          <w:sz w:val="32"/>
          <w:szCs w:val="32"/>
          <w:lang w:val="en-US" w:eastAsia="zh-CN"/>
        </w:rPr>
        <w:t>576.48</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5.72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0.99</w:t>
      </w:r>
      <w:r>
        <w:rPr>
          <w:rFonts w:hint="eastAsia" w:ascii="仿宋_GB2312" w:eastAsia="仿宋_GB2312" w:cs="DengXian-Regular"/>
          <w:sz w:val="32"/>
          <w:szCs w:val="32"/>
        </w:rPr>
        <w:t>%，主要是人员经费的增加。</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604.44</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32.98</w:t>
      </w:r>
      <w:r>
        <w:rPr>
          <w:rFonts w:hint="eastAsia" w:ascii="仿宋_GB2312" w:eastAsia="仿宋_GB2312" w:cs="DengXian-Regular"/>
          <w:sz w:val="32"/>
          <w:szCs w:val="32"/>
        </w:rPr>
        <w:t>万元；主要是人员经费增加；本年支出</w:t>
      </w:r>
      <w:r>
        <w:rPr>
          <w:rFonts w:hint="eastAsia" w:ascii="仿宋_GB2312" w:eastAsia="仿宋_GB2312" w:cs="DengXian-Regular"/>
          <w:sz w:val="32"/>
          <w:szCs w:val="32"/>
          <w:lang w:val="en-US" w:eastAsia="zh-CN"/>
        </w:rPr>
        <w:t>576.48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5.72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0.99</w:t>
      </w:r>
      <w:r>
        <w:rPr>
          <w:rFonts w:hint="eastAsia" w:ascii="仿宋_GB2312" w:eastAsia="仿宋_GB2312" w:cs="DengXian-Regular"/>
          <w:sz w:val="32"/>
          <w:szCs w:val="32"/>
        </w:rPr>
        <w:t>%，主要是人员经费增加。政府性基金预算财政拨款本年收入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政府性基金预算；本年支出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政府性基金预算</w:t>
      </w:r>
      <w:r>
        <w:rPr>
          <w:rFonts w:hint="eastAsia" w:ascii="仿宋_GB2312" w:eastAsia="仿宋_GB2312" w:cs="DengXian-Regular"/>
          <w:sz w:val="32"/>
          <w:szCs w:val="32"/>
          <w:lang w:eastAsia="zh-CN"/>
        </w:rPr>
        <w:t>支出</w:t>
      </w:r>
      <w:r>
        <w:rPr>
          <w:rFonts w:hint="eastAsia" w:ascii="仿宋_GB2312" w:eastAsia="仿宋_GB2312" w:cs="DengXian-Regular"/>
          <w:sz w:val="32"/>
          <w:szCs w:val="32"/>
        </w:rPr>
        <w:t>。</w:t>
      </w:r>
    </w:p>
    <w:p>
      <w:pPr>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一般公共预算财政拨款收入604.44万元，完成年初预算的123%,比年初预算增加111.97万元，决算数大于预算数主要是2018年7月份调整机关工作人员工资；本年支出576.48万元，完成年初预算的117%,比年初预算增加84.01万元，决算数大于预算数主要是人员经费增加。</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604.44</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123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111.97</w:t>
      </w:r>
      <w:r>
        <w:rPr>
          <w:rFonts w:hint="eastAsia" w:ascii="仿宋_GB2312" w:eastAsia="仿宋_GB2312" w:cs="DengXian-Regular"/>
          <w:sz w:val="32"/>
          <w:szCs w:val="32"/>
        </w:rPr>
        <w:t>万元，决算数大于预算数主要是2018年7月份调整机关工作人员工资；本年支出</w:t>
      </w:r>
      <w:r>
        <w:rPr>
          <w:rFonts w:hint="eastAsia" w:ascii="仿宋_GB2312" w:eastAsia="仿宋_GB2312" w:cs="DengXian-Regular"/>
          <w:sz w:val="32"/>
          <w:szCs w:val="32"/>
          <w:lang w:val="en-US" w:eastAsia="zh-CN"/>
        </w:rPr>
        <w:t>576.48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117</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84.01</w:t>
      </w:r>
      <w:r>
        <w:rPr>
          <w:rFonts w:hint="eastAsia" w:ascii="仿宋_GB2312" w:eastAsia="仿宋_GB2312" w:cs="DengXian-Regular"/>
          <w:sz w:val="32"/>
          <w:szCs w:val="32"/>
        </w:rPr>
        <w:t>万元，决算数大于预算数主要是人员经费增加。</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123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111.97</w:t>
      </w:r>
      <w:r>
        <w:rPr>
          <w:rFonts w:hint="eastAsia" w:ascii="仿宋_GB2312" w:eastAsia="仿宋_GB2312" w:cs="DengXian-Regular"/>
          <w:sz w:val="32"/>
          <w:szCs w:val="32"/>
        </w:rPr>
        <w:t>万元，决算数大于预算数主要是2018年7月份整机关工作人员工资；支出完成年初预算</w:t>
      </w:r>
      <w:r>
        <w:rPr>
          <w:rFonts w:hint="eastAsia" w:ascii="仿宋_GB2312" w:eastAsia="仿宋_GB2312" w:cs="DengXian-Regular"/>
          <w:sz w:val="32"/>
          <w:szCs w:val="32"/>
          <w:lang w:val="en-US" w:eastAsia="zh-CN"/>
        </w:rPr>
        <w:t>117</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84.01</w:t>
      </w:r>
      <w:r>
        <w:rPr>
          <w:rFonts w:hint="eastAsia" w:ascii="仿宋_GB2312" w:eastAsia="仿宋_GB2312" w:cs="DengXian-Regular"/>
          <w:sz w:val="32"/>
          <w:szCs w:val="32"/>
        </w:rPr>
        <w:t>万元，决算数大于预算数主要是人员经费增加。政府性基金预算财政拨款本年收入完成年初预算</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政府性基金预算</w:t>
      </w:r>
      <w:r>
        <w:rPr>
          <w:rFonts w:hint="eastAsia" w:ascii="仿宋_GB2312" w:eastAsia="仿宋_GB2312" w:cs="DengXian-Regular"/>
          <w:sz w:val="32"/>
          <w:szCs w:val="32"/>
          <w:lang w:eastAsia="zh-CN"/>
        </w:rPr>
        <w:t>支出</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万元，决算数</w:t>
      </w:r>
      <w:r>
        <w:rPr>
          <w:rFonts w:hint="eastAsia" w:ascii="仿宋_GB2312" w:eastAsia="仿宋_GB2312" w:cs="DengXian-Regular"/>
          <w:sz w:val="32"/>
          <w:szCs w:val="32"/>
          <w:lang w:eastAsia="zh-CN"/>
        </w:rPr>
        <w:t>等于</w:t>
      </w:r>
      <w:r>
        <w:rPr>
          <w:rFonts w:hint="eastAsia" w:ascii="仿宋_GB2312" w:eastAsia="仿宋_GB2312" w:cs="DengXian-Regular"/>
          <w:sz w:val="32"/>
          <w:szCs w:val="32"/>
        </w:rPr>
        <w:t>预算数主要是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政府性基金预算</w:t>
      </w:r>
      <w:r>
        <w:rPr>
          <w:rFonts w:hint="eastAsia" w:ascii="仿宋_GB2312" w:eastAsia="仿宋_GB2312" w:cs="DengXian-Regular"/>
          <w:sz w:val="32"/>
          <w:szCs w:val="32"/>
          <w:lang w:eastAsia="zh-CN"/>
        </w:rPr>
        <w:t>支出</w:t>
      </w:r>
      <w:r>
        <w:rPr>
          <w:rFonts w:hint="eastAsia" w:ascii="仿宋_GB2312" w:eastAsia="仿宋_GB2312" w:cs="DengXian-Regular"/>
          <w:sz w:val="32"/>
          <w:szCs w:val="32"/>
        </w:rPr>
        <w:t>。</w:t>
      </w:r>
    </w:p>
    <w:p>
      <w:pPr>
        <w:numPr>
          <w:ilvl w:val="0"/>
          <w:numId w:val="1"/>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576。48</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527。63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91.5</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48.85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8.5</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年度一般公共预算财政拨款基本支出537.33万元，其中：人员经费 495.50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41.83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640" w:firstLineChars="200"/>
        <w:rPr>
          <w:rFonts w:hint="eastAsia"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4.8</w:t>
      </w:r>
      <w:r>
        <w:rPr>
          <w:rFonts w:eastAsia="仿宋_GB2312"/>
          <w:sz w:val="32"/>
          <w:szCs w:val="32"/>
        </w:rPr>
        <w:t>万元，</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严格按照预算数安排支出金额</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5.45</w:t>
      </w:r>
      <w:r>
        <w:rPr>
          <w:rFonts w:eastAsia="仿宋_GB2312"/>
          <w:sz w:val="32"/>
          <w:szCs w:val="32"/>
        </w:rPr>
        <w:t>万元，降低</w:t>
      </w:r>
      <w:r>
        <w:rPr>
          <w:rFonts w:hint="eastAsia" w:eastAsia="仿宋_GB2312"/>
          <w:sz w:val="32"/>
          <w:szCs w:val="32"/>
          <w:lang w:val="en-US" w:eastAsia="zh-CN"/>
        </w:rPr>
        <w:t>53.17</w:t>
      </w:r>
      <w:r>
        <w:rPr>
          <w:rFonts w:eastAsia="仿宋_GB2312"/>
          <w:sz w:val="32"/>
          <w:szCs w:val="32"/>
        </w:rPr>
        <w:t>%，主要是</w:t>
      </w:r>
      <w:r>
        <w:rPr>
          <w:rFonts w:hint="eastAsia" w:eastAsia="仿宋_GB2312"/>
          <w:sz w:val="32"/>
          <w:szCs w:val="32"/>
          <w:lang w:eastAsia="zh-CN"/>
        </w:rPr>
        <w:t>严格控制公务用车运行费的使用，按照预算数安排支出</w:t>
      </w:r>
      <w:r>
        <w:rPr>
          <w:rFonts w:eastAsia="仿宋_GB2312"/>
          <w:sz w:val="32"/>
          <w:szCs w:val="32"/>
        </w:rPr>
        <w:t>。具体情况如下：</w:t>
      </w:r>
    </w:p>
    <w:p>
      <w:pPr>
        <w:numPr>
          <w:ilvl w:val="0"/>
          <w:numId w:val="2"/>
        </w:numPr>
        <w:adjustRightInd w:val="0"/>
        <w:snapToGrid w:val="0"/>
        <w:spacing w:line="584" w:lineRule="exact"/>
        <w:ind w:firstLine="643" w:firstLineChars="200"/>
        <w:rPr>
          <w:rFonts w:eastAsia="楷体_GB2312"/>
          <w:b/>
          <w:bCs/>
          <w:sz w:val="32"/>
          <w:szCs w:val="32"/>
        </w:rPr>
      </w:pP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无</w:t>
      </w:r>
      <w:r>
        <w:rPr>
          <w:rFonts w:hint="eastAsia" w:ascii="仿宋_GB2312" w:eastAsia="仿宋_GB2312" w:cs="DengXian-Regular"/>
          <w:sz w:val="32"/>
          <w:szCs w:val="32"/>
        </w:rPr>
        <w:t>因公出国（境）费支出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无</w:t>
      </w:r>
      <w:r>
        <w:rPr>
          <w:rFonts w:hint="eastAsia" w:ascii="仿宋_GB2312" w:eastAsia="仿宋_GB2312" w:cs="DengXian-Regular"/>
          <w:sz w:val="32"/>
          <w:szCs w:val="32"/>
        </w:rPr>
        <w:t>因公出国（境）费支出</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4.8</w:t>
      </w:r>
      <w:r>
        <w:rPr>
          <w:rFonts w:eastAsia="楷体_GB2312"/>
          <w:b/>
          <w:bCs/>
          <w:sz w:val="32"/>
          <w:szCs w:val="32"/>
        </w:rPr>
        <w:t>万元。</w:t>
      </w:r>
      <w:r>
        <w:rPr>
          <w:rFonts w:hint="eastAsia" w:eastAsia="楷体_GB2312"/>
          <w:b/>
          <w:bCs/>
          <w:sz w:val="32"/>
          <w:szCs w:val="32"/>
        </w:rPr>
        <w:t xml:space="preserve"> </w:t>
      </w:r>
      <w:r>
        <w:rPr>
          <w:rFonts w:hint="eastAsia" w:ascii="仿宋_GB2312" w:eastAsia="仿宋_GB2312" w:cs="DengXian-Regular"/>
          <w:sz w:val="32"/>
          <w:szCs w:val="32"/>
        </w:rPr>
        <w:t>本部门2018年度公务用车购置及运行维护费比年初预算</w:t>
      </w:r>
      <w:r>
        <w:rPr>
          <w:rFonts w:hint="eastAsia" w:eastAsia="仿宋_GB2312"/>
          <w:sz w:val="32"/>
          <w:szCs w:val="32"/>
        </w:rPr>
        <w:t>无增减变化</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2.17</w:t>
      </w:r>
      <w:r>
        <w:rPr>
          <w:rFonts w:eastAsia="仿宋_GB2312"/>
          <w:sz w:val="32"/>
          <w:szCs w:val="32"/>
        </w:rPr>
        <w:t>万元，增长</w:t>
      </w:r>
      <w:r>
        <w:rPr>
          <w:rFonts w:hint="eastAsia" w:eastAsia="仿宋_GB2312"/>
          <w:sz w:val="32"/>
          <w:szCs w:val="32"/>
        </w:rPr>
        <w:t>82.5</w:t>
      </w:r>
      <w:r>
        <w:rPr>
          <w:rFonts w:eastAsia="仿宋_GB2312"/>
          <w:sz w:val="32"/>
          <w:szCs w:val="32"/>
        </w:rPr>
        <w:t>%，主要是</w:t>
      </w:r>
      <w:r>
        <w:rPr>
          <w:rFonts w:hint="eastAsia" w:eastAsia="仿宋_GB2312"/>
          <w:sz w:val="32"/>
          <w:szCs w:val="32"/>
        </w:rPr>
        <w:t>公务用车的维修费用增加</w:t>
      </w:r>
      <w:r>
        <w:rPr>
          <w:rFonts w:eastAsia="仿宋_GB2312"/>
          <w:sz w:val="32"/>
          <w:szCs w:val="32"/>
        </w:rPr>
        <w:t>。</w:t>
      </w:r>
      <w:r>
        <w:rPr>
          <w:rFonts w:eastAsia="仿宋_GB2312"/>
          <w:b/>
          <w:bCs/>
          <w:sz w:val="32"/>
          <w:szCs w:val="32"/>
        </w:rPr>
        <w:t>其中</w:t>
      </w:r>
      <w:r>
        <w:rPr>
          <w:rFonts w:hint="eastAsia" w:eastAsia="仿宋_GB2312"/>
          <w:b/>
          <w:bCs/>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无</w:t>
      </w:r>
      <w:r>
        <w:rPr>
          <w:rFonts w:eastAsia="仿宋_GB2312"/>
          <w:sz w:val="32"/>
          <w:szCs w:val="32"/>
        </w:rPr>
        <w:t>公务用车购置费支出；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无</w:t>
      </w:r>
      <w:r>
        <w:rPr>
          <w:rFonts w:eastAsia="仿宋_GB2312"/>
          <w:sz w:val="32"/>
          <w:szCs w:val="32"/>
        </w:rPr>
        <w:t>公务用车购置费支出。</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4.8</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3</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严格按照预算安排费用支出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5.45</w:t>
      </w:r>
      <w:r>
        <w:rPr>
          <w:rFonts w:eastAsia="仿宋_GB2312"/>
          <w:sz w:val="32"/>
          <w:szCs w:val="32"/>
        </w:rPr>
        <w:t>万元，降低</w:t>
      </w:r>
      <w:r>
        <w:rPr>
          <w:rFonts w:hint="eastAsia" w:eastAsia="仿宋_GB2312"/>
          <w:sz w:val="32"/>
          <w:szCs w:val="32"/>
          <w:lang w:val="en-US" w:eastAsia="zh-CN"/>
        </w:rPr>
        <w:t>53.17</w:t>
      </w:r>
      <w:r>
        <w:rPr>
          <w:rFonts w:eastAsia="仿宋_GB2312"/>
          <w:sz w:val="32"/>
          <w:szCs w:val="32"/>
        </w:rPr>
        <w:t>%，主要是</w:t>
      </w:r>
      <w:r>
        <w:rPr>
          <w:rFonts w:hint="eastAsia" w:eastAsia="仿宋_GB2312"/>
          <w:sz w:val="32"/>
          <w:szCs w:val="32"/>
          <w:lang w:eastAsia="zh-CN"/>
        </w:rPr>
        <w:t>严格控制公务用车运行费的使用，按照预算数安排支出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无</w:t>
      </w:r>
      <w:r>
        <w:rPr>
          <w:rFonts w:eastAsia="仿宋_GB2312"/>
          <w:sz w:val="32"/>
          <w:szCs w:val="32"/>
        </w:rPr>
        <w:t>公务接待费支出；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%，主要是公务接待费支出。</w:t>
      </w:r>
    </w:p>
    <w:p>
      <w:pPr>
        <w:adjustRightInd w:val="0"/>
        <w:snapToGrid w:val="0"/>
        <w:spacing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年按照总体绩效目标，我单位认真开展了绩效管理工作。以“部门职责-工作活动”为依据，确定部门预算项目和预算额度、清晰描述预算项目开支范围和内容，确定预算项目的绩效目标、绩效指标和评价标准，为预算绩效控制、绩效分析、绩效评价打下好的基础。</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为加强财政资金管理，提高财政资金的使用效益，遵循“科学规范、分类管理、绩效相关”的原则，运用科学、合理的绩效评价方法，对本部门2018年度重点工作预算绩效情况进行客观、公正的评价。2018年度决算专项项目4个，资金39.14万元。其中稳增长、促改革、调结构、惠民生政策措施落实情况跟踪审计经费10万元，电代煤和气代煤政策执行情况进行跟踪审计经费10万元，审计业务经费10万元，廊坊市政府投资审计平台建设资金9.14万元，现已完成评价工作。</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为加强预算绩效管理，切实提高财政资金使用效益，进一步做好2018年度绩效评价工作，我单位对“稳增长、促改革、调结构、惠民生政策措施落实情况跟踪审计经费”项目进行了重点绩效评价，评价结果为优。</w:t>
      </w:r>
    </w:p>
    <w:p>
      <w:pPr>
        <w:pStyle w:val="2"/>
        <w:spacing w:before="0" w:after="0" w:line="580" w:lineRule="exact"/>
        <w:ind w:firstLine="640" w:firstLineChars="200"/>
        <w:rPr>
          <w:rFonts w:hint="eastAsia" w:ascii="黑体" w:eastAsia="黑体" w:cs="Times New Roman"/>
          <w:b w:val="0"/>
          <w:bCs w:val="0"/>
        </w:rPr>
      </w:pPr>
      <w:r>
        <w:rPr>
          <w:rFonts w:hint="eastAsia" w:ascii="黑体" w:eastAsia="黑体" w:cs="Times New Roman"/>
          <w:b w:val="0"/>
          <w:bCs w:val="0"/>
        </w:rPr>
        <w:t>七、其他重要事项的说明</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line="580" w:lineRule="exact"/>
        <w:ind w:firstLine="640" w:firstLineChars="200"/>
        <w:rPr>
          <w:rFonts w:eastAsia="仿宋_GB2312"/>
          <w:sz w:val="32"/>
          <w:szCs w:val="32"/>
        </w:rPr>
      </w:pPr>
      <w:r>
        <w:rPr>
          <w:rFonts w:hint="eastAsia" w:ascii="仿宋_GB2312" w:eastAsia="仿宋_GB2312" w:cs="DengXian-Regular"/>
          <w:sz w:val="32"/>
          <w:szCs w:val="32"/>
        </w:rPr>
        <w:t>本部门2018年度机关运行经费支出41.83万元，比年初预算数减少2.62万元，降低</w:t>
      </w:r>
      <w:r>
        <w:rPr>
          <w:rFonts w:hint="eastAsia" w:ascii="宋体" w:hAnsi="宋体" w:eastAsia="仿宋_GB2312" w:cs="宋体"/>
          <w:sz w:val="32"/>
          <w:szCs w:val="32"/>
        </w:rPr>
        <w:t>5.9</w:t>
      </w:r>
      <w:r>
        <w:rPr>
          <w:rFonts w:eastAsia="仿宋_GB2312"/>
          <w:sz w:val="32"/>
          <w:szCs w:val="32"/>
        </w:rPr>
        <w:t>%</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w:t>
      </w:r>
      <w:r>
        <w:rPr>
          <w:rFonts w:hint="eastAsia" w:eastAsia="仿宋_GB2312"/>
          <w:sz w:val="32"/>
          <w:szCs w:val="32"/>
        </w:rPr>
        <w:t>减少</w:t>
      </w:r>
      <w:r>
        <w:rPr>
          <w:rFonts w:hint="eastAsia" w:ascii="宋体" w:hAnsi="宋体" w:eastAsia="仿宋_GB2312" w:cs="宋体"/>
          <w:sz w:val="32"/>
          <w:szCs w:val="32"/>
        </w:rPr>
        <w:t>6.81</w:t>
      </w:r>
      <w:r>
        <w:rPr>
          <w:rFonts w:eastAsia="仿宋_GB2312"/>
          <w:sz w:val="32"/>
          <w:szCs w:val="32"/>
        </w:rPr>
        <w:t>万元，</w:t>
      </w:r>
      <w:r>
        <w:rPr>
          <w:rFonts w:hint="eastAsia" w:eastAsia="仿宋_GB2312"/>
          <w:sz w:val="32"/>
          <w:szCs w:val="32"/>
        </w:rPr>
        <w:t>降低14</w:t>
      </w:r>
      <w:r>
        <w:rPr>
          <w:rFonts w:eastAsia="仿宋_GB2312"/>
          <w:sz w:val="32"/>
          <w:szCs w:val="32"/>
        </w:rPr>
        <w:t>%，主要是</w:t>
      </w:r>
      <w:r>
        <w:rPr>
          <w:rFonts w:hint="eastAsia" w:eastAsia="仿宋_GB2312"/>
          <w:sz w:val="32"/>
          <w:szCs w:val="32"/>
        </w:rPr>
        <w:t>压减公用经费的开支</w:t>
      </w:r>
      <w:r>
        <w:rPr>
          <w:rFonts w:eastAsia="仿宋_GB2312"/>
          <w:sz w:val="32"/>
          <w:szCs w:val="32"/>
        </w:rPr>
        <w:t>。</w:t>
      </w:r>
    </w:p>
    <w:p>
      <w:pPr>
        <w:bidi w:val="0"/>
        <w:rPr>
          <w:rFonts w:ascii="Calibri" w:hAnsi="Calibri" w:eastAsia="宋体" w:cs="Times New Roman"/>
          <w:kern w:val="2"/>
          <w:sz w:val="21"/>
          <w:lang w:val="en-US" w:eastAsia="zh-CN" w:bidi="ar-SA"/>
        </w:rPr>
      </w:pPr>
    </w:p>
    <w:p>
      <w:pPr>
        <w:tabs>
          <w:tab w:val="left" w:pos="924"/>
        </w:tabs>
        <w:bidi w:val="0"/>
        <w:jc w:val="left"/>
        <w:rPr>
          <w:lang w:val="en-US" w:eastAsia="zh-CN"/>
        </w:rPr>
      </w:pPr>
      <w:bookmarkStart w:id="0" w:name="_GoBack"/>
      <w:bookmarkEnd w:id="0"/>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3"/>
        <w:spacing w:before="0" w:after="0" w:line="580" w:lineRule="exact"/>
        <w:ind w:firstLine="640" w:firstLineChars="200"/>
        <w:rPr>
          <w:rFonts w:hint="eastAsia" w:ascii="仿宋_GB2312" w:hAnsi="Calibri" w:eastAsia="仿宋_GB2312" w:cs="DengXian-Regular"/>
          <w:b w:val="0"/>
          <w:bCs w:val="0"/>
          <w:kern w:val="2"/>
          <w:sz w:val="32"/>
          <w:szCs w:val="32"/>
          <w:lang w:val="en-US" w:eastAsia="zh-CN" w:bidi="ar-SA"/>
        </w:rPr>
      </w:pPr>
      <w:r>
        <w:rPr>
          <w:rFonts w:hint="eastAsia" w:ascii="仿宋_GB2312" w:hAnsi="Calibri" w:eastAsia="仿宋_GB2312" w:cs="DengXian-Regular"/>
          <w:b w:val="0"/>
          <w:bCs w:val="0"/>
          <w:kern w:val="2"/>
          <w:sz w:val="32"/>
          <w:szCs w:val="32"/>
          <w:lang w:val="en-US" w:eastAsia="zh-CN" w:bidi="ar-SA"/>
        </w:rPr>
        <w:t>本部门2018年度政府采购支出总额</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万元，从采购类型来看，政府采购货物支出</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万元、政府采购工程支出</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万元、政府采购服务支出</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万元。授予中小企业合同金</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万元，占政府采购支出总额的</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%，其中授予小微企业合同金额</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万元，占政府采购支出总额的</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辆，比上年</w:t>
      </w:r>
      <w:r>
        <w:rPr>
          <w:rFonts w:hint="eastAsia" w:ascii="仿宋_GB2312" w:eastAsia="仿宋_GB2312" w:cs="DengXian-Regular"/>
          <w:sz w:val="32"/>
          <w:szCs w:val="32"/>
          <w:lang w:eastAsia="zh-CN"/>
        </w:rPr>
        <w:t>无增减变化</w:t>
      </w:r>
      <w:r>
        <w:rPr>
          <w:rFonts w:hint="eastAsia" w:ascii="仿宋_GB2312" w:eastAsia="仿宋_GB2312" w:cs="DengXian-Regular"/>
          <w:sz w:val="32"/>
          <w:szCs w:val="32"/>
        </w:rPr>
        <w:t>，主要是机要通信用车2辆，政府投资审计工程用车1辆。其中，副部（省）级及以上领导用车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辆，其他用车主要是政府投资审计工程用车1辆；单位价值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eastAsia="zh-CN"/>
        </w:rPr>
        <w:t>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eastAsia="zh-CN"/>
        </w:rPr>
        <w:t>无增减变化</w:t>
      </w:r>
      <w:r>
        <w:rPr>
          <w:rFonts w:hint="eastAsia" w:ascii="仿宋_GB2312" w:eastAsia="仿宋_GB2312" w:cs="DengXian-Regular"/>
          <w:sz w:val="32"/>
          <w:szCs w:val="32"/>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1、本部门2018年度政府性基金预算财政拨款收入支出决算、国有资本经营预算财政拨款支出情况无收支及结转结余情况，故以空表列示。</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0" w:lineRule="exact"/>
        <w:ind w:firstLine="640" w:firstLineChars="200"/>
        <w:rPr>
          <w:rFonts w:hint="eastAsia" w:ascii="仿宋_GB2312" w:eastAsia="仿宋_GB2312" w:cs="DengXian-Regular"/>
          <w:sz w:val="32"/>
          <w:szCs w:val="32"/>
        </w:rPr>
      </w:pPr>
    </w:p>
    <w:p>
      <w:pPr>
        <w:widowControl/>
        <w:spacing w:line="420" w:lineRule="atLeast"/>
        <w:ind w:firstLine="643" w:firstLineChars="200"/>
        <w:jc w:val="left"/>
        <w:rPr>
          <w:rFonts w:hint="default" w:ascii="黑体" w:eastAsia="黑体" w:cs="黑体"/>
          <w:b/>
          <w:bCs/>
          <w:color w:val="484747"/>
          <w:kern w:val="0"/>
          <w:sz w:val="32"/>
          <w:szCs w:val="32"/>
          <w:lang w:val="en-US" w:eastAsia="zh-CN"/>
        </w:rPr>
      </w:pPr>
      <w:r>
        <w:rPr>
          <w:rFonts w:hint="eastAsia" w:ascii="黑体" w:eastAsia="黑体" w:cs="黑体"/>
          <w:b/>
          <w:bCs/>
          <w:color w:val="484747"/>
          <w:kern w:val="0"/>
          <w:sz w:val="32"/>
          <w:szCs w:val="32"/>
          <w:lang w:eastAsia="zh-CN"/>
        </w:rPr>
        <w:t>第四部分</w:t>
      </w:r>
      <w:r>
        <w:rPr>
          <w:rFonts w:hint="eastAsia" w:ascii="黑体" w:eastAsia="黑体" w:cs="黑体"/>
          <w:b/>
          <w:bCs/>
          <w:color w:val="484747"/>
          <w:kern w:val="0"/>
          <w:sz w:val="32"/>
          <w:szCs w:val="32"/>
          <w:lang w:val="en-US" w:eastAsia="zh-CN"/>
        </w:rPr>
        <w:t xml:space="preserve">  名词解释</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adjustRightInd w:val="0"/>
        <w:snapToGrid w:val="0"/>
        <w:spacing w:line="580" w:lineRule="exact"/>
        <w:ind w:firstLine="640" w:firstLineChars="200"/>
        <w:rPr>
          <w:rFonts w:hint="eastAsia" w:ascii="仿宋_GB2312" w:eastAsia="仿宋_GB2312" w:cs="DengXian-Regular"/>
          <w:sz w:val="32"/>
          <w:szCs w:val="32"/>
        </w:rPr>
        <w:sectPr>
          <w:pgSz w:w="11906" w:h="16838"/>
          <w:pgMar w:top="2098" w:right="1474" w:bottom="1984" w:left="1588" w:header="851" w:footer="992" w:gutter="0"/>
          <w:cols w:space="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Latha"/>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2E7027"/>
    <w:multiLevelType w:val="singleLevel"/>
    <w:tmpl w:val="EC2E7027"/>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9C"/>
    <w:rsid w:val="008B6C79"/>
    <w:rsid w:val="00EB729C"/>
    <w:rsid w:val="0A1B7DE1"/>
    <w:rsid w:val="135A1976"/>
    <w:rsid w:val="1C274907"/>
    <w:rsid w:val="2B876C21"/>
    <w:rsid w:val="39C55522"/>
    <w:rsid w:val="3B093B97"/>
    <w:rsid w:val="3BD85A79"/>
    <w:rsid w:val="40C56CAD"/>
    <w:rsid w:val="4B3B1445"/>
    <w:rsid w:val="535E4BDD"/>
    <w:rsid w:val="54231D4D"/>
    <w:rsid w:val="66715D01"/>
    <w:rsid w:val="68360ADD"/>
    <w:rsid w:val="6FAA5187"/>
    <w:rsid w:val="76B65E00"/>
    <w:rsid w:val="77D3644F"/>
    <w:rsid w:val="78F9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516</Words>
  <Characters>2944</Characters>
  <Lines>24</Lines>
  <Paragraphs>6</Paragraphs>
  <TotalTime>6</TotalTime>
  <ScaleCrop>false</ScaleCrop>
  <LinksUpToDate>false</LinksUpToDate>
  <CharactersWithSpaces>3454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2019-10-21T05:59:00Z</dcterms:created>
  <dc:creator>lenovo</dc:creator>
  <cp:lastModifiedBy>lenovo</cp:lastModifiedBy>
  <dcterms:modified xsi:type="dcterms:W3CDTF">2021-05-28T06:37:54Z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